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514" w:rsidRDefault="00E37514" w:rsidP="00417D9F">
      <w:pPr>
        <w:rPr>
          <w:rFonts w:ascii="Arial" w:hAnsi="Arial" w:cs="Arial"/>
        </w:rPr>
      </w:pPr>
    </w:p>
    <w:p w:rsidR="00417D9F" w:rsidRPr="008223E6" w:rsidRDefault="003E638C" w:rsidP="00417D9F">
      <w:pPr>
        <w:rPr>
          <w:rFonts w:ascii="Arial" w:hAnsi="Arial" w:cs="Aria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0.05pt;margin-top:8.05pt;width:264.9pt;height:21.5pt;z-index:251658240" filled="f" stroked="f">
            <v:textbox>
              <w:txbxContent>
                <w:p w:rsidR="00BC6104" w:rsidRPr="00AE1322" w:rsidRDefault="00AE1322" w:rsidP="00AE1322">
                  <w:pPr>
                    <w:jc w:val="center"/>
                  </w:pPr>
                  <w:r>
                    <w:t xml:space="preserve">ADVERTISEMENT FOR </w:t>
                  </w:r>
                  <w:r w:rsidR="00637E10">
                    <w:t>PPGL</w:t>
                  </w:r>
                  <w:r w:rsidR="0024522E">
                    <w:t xml:space="preserve"> </w:t>
                  </w:r>
                  <w:r>
                    <w:t>PORTAL</w:t>
                  </w:r>
                </w:p>
              </w:txbxContent>
            </v:textbox>
          </v:shape>
        </w:pict>
      </w:r>
    </w:p>
    <w:p w:rsidR="000139F9" w:rsidRPr="00163B4A" w:rsidRDefault="000139F9" w:rsidP="00417D9F">
      <w:pPr>
        <w:rPr>
          <w:rFonts w:ascii="Arial" w:hAnsi="Arial" w:cs="Arial"/>
          <w:sz w:val="22"/>
          <w:szCs w:val="22"/>
        </w:rPr>
      </w:pPr>
    </w:p>
    <w:p w:rsidR="000139F9" w:rsidRPr="00C36EB0" w:rsidRDefault="000139F9" w:rsidP="00417D9F">
      <w:pPr>
        <w:rPr>
          <w:rFonts w:ascii="Arial" w:hAnsi="Arial" w:cs="Arial"/>
          <w:sz w:val="8"/>
        </w:rPr>
      </w:pPr>
    </w:p>
    <w:p w:rsidR="0064627A" w:rsidRPr="00C36EB0" w:rsidRDefault="0064627A" w:rsidP="00A64F9B">
      <w:pPr>
        <w:jc w:val="right"/>
        <w:rPr>
          <w:rFonts w:ascii="Arial" w:hAnsi="Arial" w:cs="Arial"/>
          <w:b/>
          <w:sz w:val="6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142"/>
        <w:gridCol w:w="8596"/>
      </w:tblGrid>
      <w:tr w:rsidR="00417D9F" w:rsidRPr="006C0AC0" w:rsidTr="00AF77B2">
        <w:trPr>
          <w:trHeight w:val="1151"/>
        </w:trPr>
        <w:tc>
          <w:tcPr>
            <w:tcW w:w="1142" w:type="dxa"/>
          </w:tcPr>
          <w:p w:rsidR="000D4421" w:rsidRPr="006C0AC0" w:rsidRDefault="000D4421" w:rsidP="00417D9F">
            <w:pPr>
              <w:rPr>
                <w:rFonts w:ascii="Arial" w:hAnsi="Arial" w:cs="Arial"/>
                <w:sz w:val="6"/>
              </w:rPr>
            </w:pPr>
          </w:p>
          <w:p w:rsidR="00417D9F" w:rsidRPr="006C0AC0" w:rsidRDefault="003E638C" w:rsidP="00417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6"/>
              </w:rPr>
              <w:pict>
                <v:rect id="_x0000_s1028" style="position:absolute;margin-left:35.6pt;margin-top:6.8pt;width:84.65pt;height:41.8pt;z-index:251659264" strokecolor="white [3212]">
                  <v:textbox style="mso-next-textbox:#_x0000_s1028">
                    <w:txbxContent>
                      <w:p w:rsidR="00BC6104" w:rsidRDefault="00BC6104" w:rsidP="00E36496">
                        <w:r w:rsidRPr="00D45994">
                          <w:rPr>
                            <w:noProof/>
                          </w:rPr>
                          <w:drawing>
                            <wp:inline distT="0" distB="0" distL="0" distR="0">
                              <wp:extent cx="715617" cy="484532"/>
                              <wp:effectExtent l="0" t="0" r="0" b="0"/>
                              <wp:docPr id="2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15617" cy="48453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8596" w:type="dxa"/>
          </w:tcPr>
          <w:p w:rsidR="00A90CC4" w:rsidRDefault="00A90CC4" w:rsidP="006C0AC0">
            <w:pPr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</w:p>
          <w:p w:rsidR="00417D9F" w:rsidRPr="00A90CC4" w:rsidRDefault="00C01D19" w:rsidP="00E36496">
            <w:pPr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40"/>
              </w:rPr>
              <w:t>PEARL GAS PRIVATE LIMITED</w:t>
            </w:r>
          </w:p>
          <w:p w:rsidR="000D4421" w:rsidRPr="006C0AC0" w:rsidRDefault="000D4421" w:rsidP="006C0AC0">
            <w:pPr>
              <w:jc w:val="center"/>
              <w:rPr>
                <w:rFonts w:ascii="Arial" w:hAnsi="Arial" w:cs="Arial"/>
                <w:b/>
                <w:sz w:val="8"/>
              </w:rPr>
            </w:pPr>
          </w:p>
          <w:p w:rsidR="000D4421" w:rsidRDefault="000D4421" w:rsidP="00D03CDF">
            <w:pPr>
              <w:jc w:val="center"/>
              <w:rPr>
                <w:rFonts w:ascii="Arial" w:hAnsi="Arial" w:cs="Arial"/>
                <w:b/>
                <w:sz w:val="10"/>
              </w:rPr>
            </w:pPr>
          </w:p>
          <w:p w:rsidR="00AF77B2" w:rsidRDefault="00AF77B2" w:rsidP="00D03CDF">
            <w:pPr>
              <w:jc w:val="center"/>
              <w:rPr>
                <w:rFonts w:ascii="Arial" w:hAnsi="Arial" w:cs="Arial"/>
                <w:b/>
                <w:sz w:val="10"/>
              </w:rPr>
            </w:pPr>
          </w:p>
          <w:p w:rsidR="00AF77B2" w:rsidRPr="006C0AC0" w:rsidRDefault="00AF77B2" w:rsidP="00D03CDF">
            <w:pPr>
              <w:jc w:val="center"/>
              <w:rPr>
                <w:rFonts w:ascii="Arial" w:hAnsi="Arial" w:cs="Arial"/>
                <w:b/>
                <w:sz w:val="10"/>
              </w:rPr>
            </w:pPr>
          </w:p>
        </w:tc>
      </w:tr>
    </w:tbl>
    <w:tbl>
      <w:tblPr>
        <w:tblStyle w:val="TableGrid"/>
        <w:tblW w:w="9738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9738"/>
      </w:tblGrid>
      <w:tr w:rsidR="00AE1322" w:rsidRPr="00AE1322" w:rsidTr="00AE1322">
        <w:trPr>
          <w:trHeight w:val="512"/>
        </w:trPr>
        <w:tc>
          <w:tcPr>
            <w:tcW w:w="9738" w:type="dxa"/>
            <w:shd w:val="clear" w:color="auto" w:fill="000000" w:themeFill="text1"/>
            <w:vAlign w:val="center"/>
          </w:tcPr>
          <w:p w:rsidR="00AE1322" w:rsidRPr="00AE1322" w:rsidRDefault="00AE1322" w:rsidP="00A90084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u w:val="single"/>
              </w:rPr>
            </w:pPr>
            <w:r w:rsidRPr="00AE1322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Tender Enquiry No. </w:t>
            </w:r>
            <w:r w:rsidR="00134D57" w:rsidRPr="00134D57">
              <w:rPr>
                <w:rFonts w:ascii="Arial" w:hAnsi="Arial" w:cs="Arial"/>
                <w:b/>
                <w:u w:val="single"/>
              </w:rPr>
              <w:t>10000</w:t>
            </w:r>
            <w:r w:rsidR="00A90084">
              <w:rPr>
                <w:rFonts w:ascii="Arial" w:hAnsi="Arial" w:cs="Arial"/>
                <w:b/>
                <w:u w:val="single"/>
              </w:rPr>
              <w:t>39813-2</w:t>
            </w:r>
            <w:r w:rsidR="006F6548">
              <w:rPr>
                <w:rFonts w:ascii="Arial" w:hAnsi="Arial" w:cs="Arial"/>
                <w:b/>
                <w:u w:val="single"/>
              </w:rPr>
              <w:t>8</w:t>
            </w:r>
          </w:p>
        </w:tc>
      </w:tr>
    </w:tbl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4"/>
      </w:tblGrid>
      <w:tr w:rsidR="00417D9F" w:rsidRPr="006C0AC0" w:rsidTr="003E638C">
        <w:trPr>
          <w:trHeight w:val="11780"/>
        </w:trPr>
        <w:tc>
          <w:tcPr>
            <w:tcW w:w="9738" w:type="dxa"/>
          </w:tcPr>
          <w:p w:rsidR="007212FF" w:rsidRPr="006C0AC0" w:rsidRDefault="007212FF" w:rsidP="00C36EB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57EBD" w:rsidRPr="00AE1322" w:rsidRDefault="00134D57" w:rsidP="00B57E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4D57">
              <w:rPr>
                <w:rFonts w:ascii="Arial" w:hAnsi="Arial" w:cs="Arial"/>
                <w:sz w:val="20"/>
                <w:szCs w:val="20"/>
              </w:rPr>
              <w:t xml:space="preserve">PARCO Pearl Gas Private Limited (PPGL) invites bids FOR </w:t>
            </w:r>
            <w:r w:rsidRPr="00134D57">
              <w:rPr>
                <w:rFonts w:ascii="Arial" w:hAnsi="Arial" w:cs="Arial"/>
                <w:b/>
                <w:sz w:val="20"/>
                <w:szCs w:val="20"/>
              </w:rPr>
              <w:t>“</w:t>
            </w:r>
            <w:r w:rsidR="006F6548">
              <w:rPr>
                <w:rFonts w:ascii="Arial" w:hAnsi="Arial" w:cs="Arial"/>
                <w:b/>
                <w:bCs/>
                <w:sz w:val="20"/>
                <w:szCs w:val="20"/>
              </w:rPr>
              <w:t>Branding of Retail Outlets a</w:t>
            </w:r>
            <w:r w:rsidRPr="00134D57">
              <w:rPr>
                <w:rFonts w:ascii="Arial" w:hAnsi="Arial" w:cs="Arial"/>
                <w:b/>
                <w:bCs/>
                <w:sz w:val="20"/>
                <w:szCs w:val="20"/>
              </w:rPr>
              <w:t>s Per New Company Logo at Locations Throughout Pakistan</w:t>
            </w:r>
            <w:r w:rsidRPr="00134D57">
              <w:rPr>
                <w:rFonts w:ascii="Arial" w:hAnsi="Arial" w:cs="Arial"/>
                <w:b/>
                <w:sz w:val="20"/>
                <w:szCs w:val="20"/>
              </w:rPr>
              <w:t xml:space="preserve">” </w:t>
            </w:r>
            <w:r w:rsidRPr="00134D57">
              <w:rPr>
                <w:rFonts w:ascii="Arial" w:hAnsi="Arial" w:cs="Arial"/>
                <w:sz w:val="20"/>
                <w:szCs w:val="20"/>
              </w:rPr>
              <w:t xml:space="preserve">supported by bid </w:t>
            </w:r>
            <w:r w:rsidR="006F6548" w:rsidRPr="00134D57">
              <w:rPr>
                <w:rFonts w:ascii="Arial" w:hAnsi="Arial" w:cs="Arial"/>
                <w:sz w:val="20"/>
                <w:szCs w:val="20"/>
              </w:rPr>
              <w:t xml:space="preserve">bond </w:t>
            </w:r>
            <w:r w:rsidR="006F6548">
              <w:rPr>
                <w:rFonts w:ascii="Arial" w:hAnsi="Arial" w:cs="Arial"/>
                <w:sz w:val="20"/>
                <w:szCs w:val="20"/>
              </w:rPr>
              <w:t>as</w:t>
            </w:r>
            <w:r>
              <w:rPr>
                <w:rFonts w:ascii="Arial" w:hAnsi="Arial" w:cs="Arial"/>
                <w:sz w:val="20"/>
                <w:szCs w:val="20"/>
              </w:rPr>
              <w:t xml:space="preserve"> mentioned below </w:t>
            </w:r>
            <w:r w:rsidR="00B57EBD" w:rsidRPr="00AE1322">
              <w:rPr>
                <w:rFonts w:ascii="Arial" w:hAnsi="Arial" w:cs="Arial"/>
                <w:sz w:val="20"/>
                <w:szCs w:val="20"/>
              </w:rPr>
              <w:t>for the following:</w:t>
            </w:r>
          </w:p>
          <w:p w:rsidR="00B57EBD" w:rsidRPr="00AE1322" w:rsidRDefault="00B57EBD" w:rsidP="00B57EBD">
            <w:pPr>
              <w:pStyle w:val="BodyText"/>
              <w:rPr>
                <w:rFonts w:ascii="Arial" w:hAnsi="Arial"/>
              </w:rPr>
            </w:pPr>
          </w:p>
          <w:tbl>
            <w:tblPr>
              <w:tblW w:w="9429" w:type="dxa"/>
              <w:tblInd w:w="1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9" w:type="dxa"/>
                <w:right w:w="29" w:type="dxa"/>
              </w:tblCellMar>
              <w:tblLook w:val="01E0" w:firstRow="1" w:lastRow="1" w:firstColumn="1" w:lastColumn="1" w:noHBand="0" w:noVBand="0"/>
            </w:tblPr>
            <w:tblGrid>
              <w:gridCol w:w="596"/>
              <w:gridCol w:w="3060"/>
              <w:gridCol w:w="1350"/>
              <w:gridCol w:w="1800"/>
              <w:gridCol w:w="2623"/>
            </w:tblGrid>
            <w:tr w:rsidR="007554A0" w:rsidRPr="00AE1322" w:rsidTr="007A12D4">
              <w:trPr>
                <w:trHeight w:val="782"/>
              </w:trPr>
              <w:tc>
                <w:tcPr>
                  <w:tcW w:w="596" w:type="dxa"/>
                  <w:vAlign w:val="center"/>
                </w:tcPr>
                <w:p w:rsidR="007554A0" w:rsidRPr="00AE1322" w:rsidRDefault="007554A0" w:rsidP="007852A2">
                  <w:pPr>
                    <w:pStyle w:val="BodyText"/>
                    <w:jc w:val="center"/>
                    <w:rPr>
                      <w:rFonts w:ascii="Arial" w:hAnsi="Arial"/>
                      <w:b/>
                    </w:rPr>
                  </w:pPr>
                  <w:r w:rsidRPr="00AE1322">
                    <w:rPr>
                      <w:rFonts w:ascii="Arial" w:hAnsi="Arial"/>
                      <w:b/>
                    </w:rPr>
                    <w:t>S/N</w:t>
                  </w:r>
                  <w:r w:rsidR="007852A2" w:rsidRPr="00AE1322">
                    <w:rPr>
                      <w:rFonts w:ascii="Arial" w:hAnsi="Arial"/>
                      <w:b/>
                    </w:rPr>
                    <w:t>o</w:t>
                  </w:r>
                </w:p>
              </w:tc>
              <w:tc>
                <w:tcPr>
                  <w:tcW w:w="3060" w:type="dxa"/>
                  <w:vAlign w:val="center"/>
                </w:tcPr>
                <w:p w:rsidR="007554A0" w:rsidRPr="00AE1322" w:rsidRDefault="007554A0" w:rsidP="007852A2">
                  <w:pPr>
                    <w:pStyle w:val="BodyText"/>
                    <w:jc w:val="center"/>
                    <w:rPr>
                      <w:rFonts w:ascii="Arial" w:hAnsi="Arial"/>
                      <w:b/>
                    </w:rPr>
                  </w:pPr>
                  <w:r w:rsidRPr="00AE1322">
                    <w:rPr>
                      <w:rFonts w:ascii="Arial" w:hAnsi="Arial"/>
                      <w:b/>
                    </w:rPr>
                    <w:t>I</w:t>
                  </w:r>
                  <w:r w:rsidR="007852A2" w:rsidRPr="00AE1322">
                    <w:rPr>
                      <w:rFonts w:ascii="Arial" w:hAnsi="Arial"/>
                      <w:b/>
                    </w:rPr>
                    <w:t xml:space="preserve">tem </w:t>
                  </w:r>
                  <w:r w:rsidRPr="00AE1322">
                    <w:rPr>
                      <w:rFonts w:ascii="Arial" w:hAnsi="Arial"/>
                      <w:b/>
                    </w:rPr>
                    <w:t>D</w:t>
                  </w:r>
                  <w:r w:rsidR="007852A2" w:rsidRPr="00AE1322">
                    <w:rPr>
                      <w:rFonts w:ascii="Arial" w:hAnsi="Arial"/>
                      <w:b/>
                    </w:rPr>
                    <w:t>escription</w:t>
                  </w:r>
                </w:p>
              </w:tc>
              <w:tc>
                <w:tcPr>
                  <w:tcW w:w="1350" w:type="dxa"/>
                  <w:vAlign w:val="center"/>
                </w:tcPr>
                <w:p w:rsidR="007554A0" w:rsidRPr="00AE1322" w:rsidRDefault="007554A0" w:rsidP="007852A2">
                  <w:pPr>
                    <w:pStyle w:val="BodyText"/>
                    <w:jc w:val="center"/>
                    <w:rPr>
                      <w:rFonts w:ascii="Arial" w:hAnsi="Arial"/>
                      <w:b/>
                    </w:rPr>
                  </w:pPr>
                  <w:r w:rsidRPr="00AE1322">
                    <w:rPr>
                      <w:rFonts w:ascii="Arial" w:hAnsi="Arial"/>
                      <w:b/>
                    </w:rPr>
                    <w:t>B</w:t>
                  </w:r>
                  <w:r w:rsidR="007852A2" w:rsidRPr="00AE1322">
                    <w:rPr>
                      <w:rFonts w:ascii="Arial" w:hAnsi="Arial"/>
                      <w:b/>
                    </w:rPr>
                    <w:t xml:space="preserve">id </w:t>
                  </w:r>
                  <w:r w:rsidRPr="00AE1322">
                    <w:rPr>
                      <w:rFonts w:ascii="Arial" w:hAnsi="Arial"/>
                      <w:b/>
                    </w:rPr>
                    <w:t>B</w:t>
                  </w:r>
                  <w:r w:rsidR="007852A2" w:rsidRPr="00AE1322">
                    <w:rPr>
                      <w:rFonts w:ascii="Arial" w:hAnsi="Arial"/>
                      <w:b/>
                    </w:rPr>
                    <w:t>ond</w:t>
                  </w:r>
                  <w:r w:rsidRPr="00AE1322">
                    <w:rPr>
                      <w:rFonts w:ascii="Arial" w:hAnsi="Arial"/>
                      <w:b/>
                    </w:rPr>
                    <w:t xml:space="preserve"> A</w:t>
                  </w:r>
                  <w:r w:rsidR="007852A2" w:rsidRPr="00AE1322">
                    <w:rPr>
                      <w:rFonts w:ascii="Arial" w:hAnsi="Arial"/>
                      <w:b/>
                    </w:rPr>
                    <w:t>mount</w:t>
                  </w:r>
                </w:p>
              </w:tc>
              <w:tc>
                <w:tcPr>
                  <w:tcW w:w="1800" w:type="dxa"/>
                  <w:vAlign w:val="center"/>
                </w:tcPr>
                <w:p w:rsidR="007554A0" w:rsidRPr="00AE1322" w:rsidRDefault="007554A0" w:rsidP="006B4F3A">
                  <w:pPr>
                    <w:pStyle w:val="BodyText"/>
                    <w:jc w:val="center"/>
                    <w:rPr>
                      <w:rFonts w:ascii="Arial" w:hAnsi="Arial"/>
                      <w:b/>
                    </w:rPr>
                  </w:pPr>
                  <w:r w:rsidRPr="00AE1322">
                    <w:rPr>
                      <w:rFonts w:ascii="Arial" w:hAnsi="Arial"/>
                      <w:b/>
                    </w:rPr>
                    <w:t>Bid Submission / Opening Date</w:t>
                  </w:r>
                  <w:r w:rsidR="000814C0">
                    <w:rPr>
                      <w:rFonts w:ascii="Arial" w:hAnsi="Arial"/>
                      <w:b/>
                    </w:rPr>
                    <w:t xml:space="preserve"> </w:t>
                  </w:r>
                  <w:r w:rsidR="00C80B4D" w:rsidRPr="00AE1322">
                    <w:rPr>
                      <w:rFonts w:ascii="Arial" w:hAnsi="Arial"/>
                      <w:b/>
                    </w:rPr>
                    <w:t>&amp; Time</w:t>
                  </w:r>
                </w:p>
              </w:tc>
              <w:tc>
                <w:tcPr>
                  <w:tcW w:w="2623" w:type="dxa"/>
                  <w:vAlign w:val="center"/>
                </w:tcPr>
                <w:p w:rsidR="007554A0" w:rsidRPr="00AE1322" w:rsidRDefault="007554A0" w:rsidP="006B4F3A">
                  <w:pPr>
                    <w:pStyle w:val="BodyText"/>
                    <w:jc w:val="center"/>
                    <w:rPr>
                      <w:rFonts w:ascii="Arial" w:hAnsi="Arial"/>
                      <w:b/>
                    </w:rPr>
                  </w:pPr>
                  <w:r w:rsidRPr="00AE1322">
                    <w:rPr>
                      <w:rFonts w:ascii="Arial" w:hAnsi="Arial"/>
                      <w:b/>
                    </w:rPr>
                    <w:t>Tender Selling Date / Tender Fee</w:t>
                  </w:r>
                </w:p>
              </w:tc>
            </w:tr>
            <w:tr w:rsidR="00DF0BD4" w:rsidRPr="00AE1322" w:rsidTr="007A12D4">
              <w:trPr>
                <w:trHeight w:val="1430"/>
              </w:trPr>
              <w:tc>
                <w:tcPr>
                  <w:tcW w:w="596" w:type="dxa"/>
                </w:tcPr>
                <w:p w:rsidR="00DF0BD4" w:rsidRPr="00AE1322" w:rsidRDefault="00DF0BD4" w:rsidP="007A12D4">
                  <w:pPr>
                    <w:pStyle w:val="BodyText"/>
                    <w:jc w:val="center"/>
                    <w:rPr>
                      <w:rFonts w:ascii="Arial" w:hAnsi="Arial"/>
                    </w:rPr>
                  </w:pPr>
                </w:p>
                <w:p w:rsidR="00DF0BD4" w:rsidRPr="00AE1322" w:rsidRDefault="00DF0BD4" w:rsidP="007A12D4">
                  <w:pPr>
                    <w:pStyle w:val="BodyText"/>
                    <w:jc w:val="center"/>
                    <w:rPr>
                      <w:rFonts w:ascii="Arial" w:hAnsi="Arial"/>
                    </w:rPr>
                  </w:pPr>
                  <w:r w:rsidRPr="00AE1322">
                    <w:rPr>
                      <w:rFonts w:ascii="Arial" w:hAnsi="Arial"/>
                    </w:rPr>
                    <w:t>1</w:t>
                  </w:r>
                </w:p>
              </w:tc>
              <w:tc>
                <w:tcPr>
                  <w:tcW w:w="3060" w:type="dxa"/>
                </w:tcPr>
                <w:p w:rsidR="00DF0BD4" w:rsidRPr="00B8760A" w:rsidRDefault="006F6548" w:rsidP="007A12D4">
                  <w:pPr>
                    <w:pStyle w:val="BodyText"/>
                    <w:spacing w:before="240"/>
                    <w:jc w:val="left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lang w:val="en-US"/>
                    </w:rPr>
                    <w:t>Branding of Retail Outlets a</w:t>
                  </w:r>
                  <w:r w:rsidR="00134D57" w:rsidRPr="00134D57">
                    <w:rPr>
                      <w:rFonts w:ascii="Arial" w:hAnsi="Arial"/>
                      <w:b/>
                      <w:bCs/>
                      <w:lang w:val="en-US"/>
                    </w:rPr>
                    <w:t>s Per New Company Logo at Locations Throughout Pakistan</w:t>
                  </w:r>
                </w:p>
              </w:tc>
              <w:tc>
                <w:tcPr>
                  <w:tcW w:w="1350" w:type="dxa"/>
                </w:tcPr>
                <w:p w:rsidR="00DF0BD4" w:rsidRPr="00AE1322" w:rsidRDefault="00DF0BD4" w:rsidP="007A12D4">
                  <w:pPr>
                    <w:pStyle w:val="BodyText"/>
                    <w:spacing w:before="240"/>
                    <w:jc w:val="center"/>
                    <w:rPr>
                      <w:rFonts w:ascii="Arial" w:hAnsi="Arial"/>
                    </w:rPr>
                  </w:pPr>
                  <w:r w:rsidRPr="00AE1322">
                    <w:rPr>
                      <w:rFonts w:ascii="Arial" w:hAnsi="Arial"/>
                    </w:rPr>
                    <w:t>Rs.</w:t>
                  </w:r>
                  <w:r w:rsidR="00E1067D">
                    <w:rPr>
                      <w:rFonts w:ascii="Arial" w:hAnsi="Arial"/>
                    </w:rPr>
                    <w:t>40</w:t>
                  </w:r>
                  <w:r w:rsidRPr="00AE1322">
                    <w:rPr>
                      <w:rFonts w:ascii="Arial" w:hAnsi="Arial"/>
                    </w:rPr>
                    <w:t>,000/-</w:t>
                  </w:r>
                </w:p>
              </w:tc>
              <w:tc>
                <w:tcPr>
                  <w:tcW w:w="1800" w:type="dxa"/>
                </w:tcPr>
                <w:p w:rsidR="00DF0BD4" w:rsidRPr="00AE1322" w:rsidRDefault="00751D03" w:rsidP="007A12D4">
                  <w:pPr>
                    <w:pStyle w:val="BodyText"/>
                    <w:spacing w:before="240"/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0</w:t>
                  </w:r>
                  <w:r w:rsidR="00A90084">
                    <w:rPr>
                      <w:rFonts w:ascii="Arial" w:hAnsi="Arial"/>
                      <w:b/>
                    </w:rPr>
                    <w:t>3</w:t>
                  </w:r>
                  <w:r w:rsidR="0000477E">
                    <w:rPr>
                      <w:rFonts w:ascii="Arial" w:hAnsi="Arial"/>
                      <w:b/>
                    </w:rPr>
                    <w:t>.</w:t>
                  </w:r>
                  <w:r w:rsidR="00A90084">
                    <w:rPr>
                      <w:rFonts w:ascii="Arial" w:hAnsi="Arial"/>
                      <w:b/>
                    </w:rPr>
                    <w:t>0</w:t>
                  </w:r>
                  <w:r w:rsidR="006F6548">
                    <w:rPr>
                      <w:rFonts w:ascii="Arial" w:hAnsi="Arial"/>
                      <w:b/>
                    </w:rPr>
                    <w:t>2</w:t>
                  </w:r>
                  <w:r w:rsidR="000C06DA">
                    <w:rPr>
                      <w:rFonts w:ascii="Arial" w:hAnsi="Arial"/>
                      <w:b/>
                    </w:rPr>
                    <w:t>.</w:t>
                  </w:r>
                  <w:r w:rsidR="00E1067D">
                    <w:rPr>
                      <w:rFonts w:ascii="Arial" w:hAnsi="Arial"/>
                      <w:b/>
                    </w:rPr>
                    <w:t>20</w:t>
                  </w:r>
                  <w:r w:rsidR="00A90084">
                    <w:rPr>
                      <w:rFonts w:ascii="Arial" w:hAnsi="Arial"/>
                      <w:b/>
                    </w:rPr>
                    <w:t>20</w:t>
                  </w:r>
                </w:p>
                <w:p w:rsidR="00DF0BD4" w:rsidRPr="00AE1322" w:rsidRDefault="00DF0BD4" w:rsidP="007A12D4">
                  <w:pPr>
                    <w:pStyle w:val="BodyText"/>
                    <w:jc w:val="center"/>
                    <w:rPr>
                      <w:rFonts w:ascii="Arial" w:hAnsi="Arial"/>
                    </w:rPr>
                  </w:pPr>
                  <w:r w:rsidRPr="00AE1322">
                    <w:rPr>
                      <w:rFonts w:ascii="Arial" w:hAnsi="Arial"/>
                    </w:rPr>
                    <w:t>Bid Submission:</w:t>
                  </w:r>
                </w:p>
                <w:p w:rsidR="00DF0BD4" w:rsidRPr="00AE1322" w:rsidRDefault="0000477E" w:rsidP="007A12D4">
                  <w:pPr>
                    <w:pStyle w:val="BodyText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1</w:t>
                  </w:r>
                  <w:r w:rsidR="00736F64">
                    <w:rPr>
                      <w:rFonts w:ascii="Arial" w:hAnsi="Arial"/>
                    </w:rPr>
                    <w:t>50</w:t>
                  </w:r>
                  <w:r w:rsidR="00DF0BD4" w:rsidRPr="00AE1322">
                    <w:rPr>
                      <w:rFonts w:ascii="Arial" w:hAnsi="Arial"/>
                    </w:rPr>
                    <w:t>0 PST</w:t>
                  </w:r>
                </w:p>
                <w:p w:rsidR="00DF0BD4" w:rsidRPr="00AE1322" w:rsidRDefault="00DF0BD4" w:rsidP="007A12D4">
                  <w:pPr>
                    <w:pStyle w:val="BodyText"/>
                    <w:jc w:val="center"/>
                    <w:rPr>
                      <w:rFonts w:ascii="Arial" w:hAnsi="Arial"/>
                    </w:rPr>
                  </w:pPr>
                </w:p>
                <w:p w:rsidR="00DF0BD4" w:rsidRPr="00AE1322" w:rsidRDefault="00DF0BD4" w:rsidP="007A12D4">
                  <w:pPr>
                    <w:pStyle w:val="BodyText"/>
                    <w:jc w:val="center"/>
                    <w:rPr>
                      <w:rFonts w:ascii="Arial" w:hAnsi="Arial"/>
                    </w:rPr>
                  </w:pPr>
                  <w:r w:rsidRPr="00AE1322">
                    <w:rPr>
                      <w:rFonts w:ascii="Arial" w:hAnsi="Arial"/>
                    </w:rPr>
                    <w:t>Bid Opening:</w:t>
                  </w:r>
                </w:p>
                <w:p w:rsidR="00DF0BD4" w:rsidRDefault="00736F64" w:rsidP="007A12D4">
                  <w:pPr>
                    <w:pStyle w:val="BodyText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15</w:t>
                  </w:r>
                  <w:r w:rsidR="00DF0BD4" w:rsidRPr="00AE1322">
                    <w:rPr>
                      <w:rFonts w:ascii="Arial" w:hAnsi="Arial"/>
                    </w:rPr>
                    <w:t>30 PST</w:t>
                  </w:r>
                </w:p>
                <w:p w:rsidR="007A12D4" w:rsidRPr="00AE1322" w:rsidRDefault="007A12D4" w:rsidP="007A12D4">
                  <w:pPr>
                    <w:pStyle w:val="BodyText"/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2623" w:type="dxa"/>
                </w:tcPr>
                <w:p w:rsidR="00DF0BD4" w:rsidRPr="00AE1322" w:rsidRDefault="00DF0BD4" w:rsidP="007A12D4">
                  <w:pPr>
                    <w:pStyle w:val="BodyText"/>
                    <w:spacing w:before="240"/>
                    <w:jc w:val="center"/>
                    <w:rPr>
                      <w:rFonts w:ascii="Arial" w:hAnsi="Arial"/>
                    </w:rPr>
                  </w:pPr>
                  <w:r w:rsidRPr="00AE1322">
                    <w:rPr>
                      <w:rFonts w:ascii="Arial" w:hAnsi="Arial"/>
                    </w:rPr>
                    <w:t>Tender Sale</w:t>
                  </w:r>
                </w:p>
                <w:p w:rsidR="00DF0BD4" w:rsidRPr="00AE1322" w:rsidRDefault="00DF0BD4" w:rsidP="007A12D4">
                  <w:pPr>
                    <w:pStyle w:val="BodyText"/>
                    <w:jc w:val="center"/>
                    <w:rPr>
                      <w:rFonts w:ascii="Arial" w:hAnsi="Arial"/>
                      <w:b/>
                    </w:rPr>
                  </w:pPr>
                  <w:r w:rsidRPr="00AE1322">
                    <w:rPr>
                      <w:rFonts w:ascii="Arial" w:hAnsi="Arial"/>
                    </w:rPr>
                    <w:t xml:space="preserve">from </w:t>
                  </w:r>
                  <w:r w:rsidR="00A90084">
                    <w:rPr>
                      <w:rFonts w:ascii="Arial" w:hAnsi="Arial"/>
                      <w:b/>
                    </w:rPr>
                    <w:t>24</w:t>
                  </w:r>
                  <w:r w:rsidRPr="00AE1322">
                    <w:rPr>
                      <w:rFonts w:ascii="Arial" w:hAnsi="Arial"/>
                      <w:b/>
                    </w:rPr>
                    <w:t>.</w:t>
                  </w:r>
                  <w:r w:rsidR="00134D57">
                    <w:rPr>
                      <w:rFonts w:ascii="Arial" w:hAnsi="Arial"/>
                      <w:b/>
                    </w:rPr>
                    <w:t>1</w:t>
                  </w:r>
                  <w:r w:rsidR="00A90084">
                    <w:rPr>
                      <w:rFonts w:ascii="Arial" w:hAnsi="Arial"/>
                      <w:b/>
                    </w:rPr>
                    <w:t>2</w:t>
                  </w:r>
                  <w:r w:rsidRPr="00AE1322">
                    <w:rPr>
                      <w:rFonts w:ascii="Arial" w:hAnsi="Arial"/>
                      <w:b/>
                    </w:rPr>
                    <w:t>.</w:t>
                  </w:r>
                  <w:r w:rsidR="0000477E">
                    <w:rPr>
                      <w:rFonts w:ascii="Arial" w:hAnsi="Arial"/>
                      <w:b/>
                    </w:rPr>
                    <w:t>20</w:t>
                  </w:r>
                  <w:r w:rsidRPr="00AE1322">
                    <w:rPr>
                      <w:rFonts w:ascii="Arial" w:hAnsi="Arial"/>
                      <w:b/>
                    </w:rPr>
                    <w:t>1</w:t>
                  </w:r>
                  <w:r w:rsidR="006F6548">
                    <w:rPr>
                      <w:rFonts w:ascii="Arial" w:hAnsi="Arial"/>
                      <w:b/>
                    </w:rPr>
                    <w:t>9</w:t>
                  </w:r>
                  <w:r w:rsidRPr="00AE1322">
                    <w:rPr>
                      <w:rFonts w:ascii="Arial" w:hAnsi="Arial"/>
                      <w:b/>
                    </w:rPr>
                    <w:t xml:space="preserve"> to </w:t>
                  </w:r>
                  <w:r w:rsidR="00A90084">
                    <w:rPr>
                      <w:rFonts w:ascii="Arial" w:hAnsi="Arial"/>
                      <w:b/>
                    </w:rPr>
                    <w:t>14</w:t>
                  </w:r>
                  <w:r w:rsidRPr="00AE1322">
                    <w:rPr>
                      <w:rFonts w:ascii="Arial" w:hAnsi="Arial"/>
                      <w:b/>
                    </w:rPr>
                    <w:t>.</w:t>
                  </w:r>
                  <w:r w:rsidR="00A90084">
                    <w:rPr>
                      <w:rFonts w:ascii="Arial" w:hAnsi="Arial"/>
                      <w:b/>
                    </w:rPr>
                    <w:t>01</w:t>
                  </w:r>
                  <w:r>
                    <w:rPr>
                      <w:rFonts w:ascii="Arial" w:hAnsi="Arial"/>
                      <w:b/>
                    </w:rPr>
                    <w:t>.</w:t>
                  </w:r>
                  <w:r w:rsidR="0000477E">
                    <w:rPr>
                      <w:rFonts w:ascii="Arial" w:hAnsi="Arial"/>
                      <w:b/>
                    </w:rPr>
                    <w:t>20</w:t>
                  </w:r>
                  <w:r w:rsidR="00A90084">
                    <w:rPr>
                      <w:rFonts w:ascii="Arial" w:hAnsi="Arial"/>
                      <w:b/>
                    </w:rPr>
                    <w:t>20</w:t>
                  </w:r>
                </w:p>
                <w:p w:rsidR="00DF0BD4" w:rsidRPr="00AE1322" w:rsidRDefault="00DF0BD4" w:rsidP="007A12D4">
                  <w:pPr>
                    <w:pStyle w:val="BodyText"/>
                    <w:jc w:val="center"/>
                    <w:rPr>
                      <w:rFonts w:ascii="Arial" w:hAnsi="Arial"/>
                    </w:rPr>
                  </w:pPr>
                </w:p>
                <w:p w:rsidR="00DF0BD4" w:rsidRPr="00AE1322" w:rsidRDefault="00DF0BD4" w:rsidP="007A12D4">
                  <w:pPr>
                    <w:pStyle w:val="BodyText"/>
                    <w:jc w:val="center"/>
                    <w:rPr>
                      <w:rFonts w:ascii="Arial" w:hAnsi="Arial"/>
                    </w:rPr>
                  </w:pPr>
                  <w:r w:rsidRPr="00AE1322">
                    <w:rPr>
                      <w:rFonts w:ascii="Arial" w:hAnsi="Arial"/>
                    </w:rPr>
                    <w:t>Tender Fee Rs 500/-</w:t>
                  </w:r>
                  <w:r>
                    <w:rPr>
                      <w:rFonts w:ascii="Arial" w:hAnsi="Arial"/>
                    </w:rPr>
                    <w:t xml:space="preserve"> per set</w:t>
                  </w:r>
                </w:p>
                <w:p w:rsidR="00DF0BD4" w:rsidRPr="00AE1322" w:rsidRDefault="00DF0BD4" w:rsidP="007A12D4">
                  <w:pPr>
                    <w:pStyle w:val="BodyText"/>
                    <w:jc w:val="center"/>
                    <w:rPr>
                      <w:rFonts w:ascii="Arial" w:hAnsi="Arial"/>
                    </w:rPr>
                  </w:pPr>
                  <w:r w:rsidRPr="00AE1322">
                    <w:rPr>
                      <w:rFonts w:ascii="Arial" w:hAnsi="Arial"/>
                    </w:rPr>
                    <w:t>(Non-Refundable)</w:t>
                  </w:r>
                </w:p>
              </w:tc>
            </w:tr>
          </w:tbl>
          <w:p w:rsidR="00A90084" w:rsidRDefault="00A90084" w:rsidP="00F17CC1">
            <w:pPr>
              <w:pStyle w:val="BodyText"/>
              <w:rPr>
                <w:rFonts w:ascii="Arial" w:hAnsi="Arial"/>
                <w:lang w:val="en-US"/>
              </w:rPr>
            </w:pPr>
          </w:p>
          <w:p w:rsidR="00F17CC1" w:rsidRPr="00F17CC1" w:rsidRDefault="00F17CC1" w:rsidP="00F17CC1">
            <w:pPr>
              <w:pStyle w:val="BodyText"/>
              <w:rPr>
                <w:rFonts w:ascii="Arial" w:hAnsi="Arial"/>
              </w:rPr>
            </w:pPr>
            <w:r w:rsidRPr="00F17CC1">
              <w:rPr>
                <w:rFonts w:ascii="Arial" w:hAnsi="Arial"/>
                <w:b/>
              </w:rPr>
              <w:t>Single Stage Single Envelope Bidding Process</w:t>
            </w:r>
            <w:r w:rsidRPr="00F17CC1">
              <w:rPr>
                <w:rFonts w:ascii="Arial" w:hAnsi="Arial"/>
              </w:rPr>
              <w:t xml:space="preserve"> shall be adopted for above mentioned Tender. Detail of bidding procedure is available in the Tender Documents. Interested parties are invited to obtain Tender Document against a written request on </w:t>
            </w:r>
            <w:r w:rsidR="00AF77B2">
              <w:rPr>
                <w:rFonts w:ascii="Arial" w:hAnsi="Arial"/>
              </w:rPr>
              <w:t>Company’s Letterhead with cop</w:t>
            </w:r>
            <w:r w:rsidR="000814C0">
              <w:rPr>
                <w:rFonts w:ascii="Arial" w:hAnsi="Arial"/>
              </w:rPr>
              <w:t>y</w:t>
            </w:r>
            <w:r w:rsidRPr="00F17CC1">
              <w:rPr>
                <w:rFonts w:ascii="Arial" w:hAnsi="Arial"/>
              </w:rPr>
              <w:t xml:space="preserve"> of valid NTN certificate </w:t>
            </w:r>
            <w:r w:rsidR="00776E0E">
              <w:rPr>
                <w:rFonts w:ascii="Arial" w:hAnsi="Arial"/>
              </w:rPr>
              <w:t>o</w:t>
            </w:r>
            <w:r w:rsidRPr="00F17CC1">
              <w:rPr>
                <w:rFonts w:ascii="Arial" w:hAnsi="Arial"/>
              </w:rPr>
              <w:t xml:space="preserve">n payment of </w:t>
            </w:r>
            <w:r w:rsidRPr="00F17CC1">
              <w:rPr>
                <w:rFonts w:ascii="Arial" w:hAnsi="Arial"/>
                <w:b/>
              </w:rPr>
              <w:t xml:space="preserve">Rs. 500/- </w:t>
            </w:r>
            <w:r w:rsidRPr="00F17CC1">
              <w:rPr>
                <w:rFonts w:ascii="Arial" w:hAnsi="Arial"/>
              </w:rPr>
              <w:t xml:space="preserve">per set(non-refundable) in cash or a Bank Draft / Pay Order in favouring of </w:t>
            </w:r>
            <w:r w:rsidR="00134D57">
              <w:rPr>
                <w:rFonts w:ascii="Arial" w:hAnsi="Arial"/>
              </w:rPr>
              <w:t xml:space="preserve">PARCO Pearl Gas Private </w:t>
            </w:r>
            <w:r w:rsidR="006F6548">
              <w:rPr>
                <w:rFonts w:ascii="Arial" w:hAnsi="Arial"/>
              </w:rPr>
              <w:t>Limited</w:t>
            </w:r>
            <w:r w:rsidRPr="00F17CC1">
              <w:rPr>
                <w:rFonts w:ascii="Arial" w:hAnsi="Arial"/>
              </w:rPr>
              <w:t xml:space="preserve"> at the following office address</w:t>
            </w:r>
            <w:r w:rsidR="00134D57">
              <w:rPr>
                <w:rFonts w:ascii="Arial" w:hAnsi="Arial"/>
              </w:rPr>
              <w:t>es</w:t>
            </w:r>
            <w:r w:rsidRPr="00F17CC1">
              <w:rPr>
                <w:rFonts w:ascii="Arial" w:hAnsi="Arial"/>
              </w:rPr>
              <w:t xml:space="preserve"> between 0900 hours to 1</w:t>
            </w:r>
            <w:r w:rsidR="00950556">
              <w:rPr>
                <w:rFonts w:ascii="Arial" w:hAnsi="Arial"/>
              </w:rPr>
              <w:t>23</w:t>
            </w:r>
            <w:r w:rsidRPr="00F17CC1">
              <w:rPr>
                <w:rFonts w:ascii="Arial" w:hAnsi="Arial"/>
              </w:rPr>
              <w:t>0 hours</w:t>
            </w:r>
            <w:r w:rsidR="00950556">
              <w:rPr>
                <w:rFonts w:ascii="Arial" w:hAnsi="Arial"/>
              </w:rPr>
              <w:t xml:space="preserve"> and 1400 hours to 1600 hours</w:t>
            </w:r>
            <w:r w:rsidRPr="00F17CC1">
              <w:rPr>
                <w:rFonts w:ascii="Arial" w:hAnsi="Arial"/>
              </w:rPr>
              <w:t xml:space="preserve"> from Monday to Friday from </w:t>
            </w:r>
            <w:r w:rsidR="00A90084">
              <w:rPr>
                <w:rFonts w:ascii="Arial" w:hAnsi="Arial"/>
                <w:b/>
              </w:rPr>
              <w:t>24</w:t>
            </w:r>
            <w:r w:rsidR="00A90084" w:rsidRPr="00AE1322">
              <w:rPr>
                <w:rFonts w:ascii="Arial" w:hAnsi="Arial"/>
                <w:b/>
              </w:rPr>
              <w:t>.</w:t>
            </w:r>
            <w:r w:rsidR="00A90084">
              <w:rPr>
                <w:rFonts w:ascii="Arial" w:hAnsi="Arial"/>
                <w:b/>
              </w:rPr>
              <w:t>12</w:t>
            </w:r>
            <w:r w:rsidR="00A90084" w:rsidRPr="00AE1322">
              <w:rPr>
                <w:rFonts w:ascii="Arial" w:hAnsi="Arial"/>
                <w:b/>
              </w:rPr>
              <w:t>.</w:t>
            </w:r>
            <w:r w:rsidR="00A90084">
              <w:rPr>
                <w:rFonts w:ascii="Arial" w:hAnsi="Arial"/>
                <w:b/>
              </w:rPr>
              <w:t>20</w:t>
            </w:r>
            <w:r w:rsidR="00A90084" w:rsidRPr="00AE1322">
              <w:rPr>
                <w:rFonts w:ascii="Arial" w:hAnsi="Arial"/>
                <w:b/>
              </w:rPr>
              <w:t>1</w:t>
            </w:r>
            <w:r w:rsidR="00A90084">
              <w:rPr>
                <w:rFonts w:ascii="Arial" w:hAnsi="Arial"/>
                <w:b/>
              </w:rPr>
              <w:t>9</w:t>
            </w:r>
            <w:r w:rsidR="00A90084" w:rsidRPr="00AE1322">
              <w:rPr>
                <w:rFonts w:ascii="Arial" w:hAnsi="Arial"/>
                <w:b/>
              </w:rPr>
              <w:t xml:space="preserve"> </w:t>
            </w:r>
            <w:r w:rsidR="00A90084" w:rsidRPr="00A90084">
              <w:rPr>
                <w:rFonts w:ascii="Arial" w:hAnsi="Arial"/>
              </w:rPr>
              <w:t>till</w:t>
            </w:r>
            <w:r w:rsidR="00A90084" w:rsidRPr="00AE1322">
              <w:rPr>
                <w:rFonts w:ascii="Arial" w:hAnsi="Arial"/>
                <w:b/>
              </w:rPr>
              <w:t xml:space="preserve"> </w:t>
            </w:r>
            <w:r w:rsidR="00A90084">
              <w:rPr>
                <w:rFonts w:ascii="Arial" w:hAnsi="Arial"/>
                <w:b/>
              </w:rPr>
              <w:t>14</w:t>
            </w:r>
            <w:r w:rsidR="00A90084" w:rsidRPr="00AE1322">
              <w:rPr>
                <w:rFonts w:ascii="Arial" w:hAnsi="Arial"/>
                <w:b/>
              </w:rPr>
              <w:t>.</w:t>
            </w:r>
            <w:r w:rsidR="00A90084">
              <w:rPr>
                <w:rFonts w:ascii="Arial" w:hAnsi="Arial"/>
                <w:b/>
              </w:rPr>
              <w:t>01.2020</w:t>
            </w:r>
          </w:p>
          <w:p w:rsidR="00134D57" w:rsidRPr="00134D57" w:rsidRDefault="00134D57" w:rsidP="00134D57">
            <w:pPr>
              <w:pStyle w:val="BodyText"/>
              <w:rPr>
                <w:rFonts w:ascii="Arial" w:hAnsi="Arial"/>
                <w:lang w:val="en-US"/>
              </w:rPr>
            </w:pPr>
          </w:p>
          <w:p w:rsidR="00134D57" w:rsidRPr="00134D57" w:rsidRDefault="00134D57" w:rsidP="00134D57">
            <w:pPr>
              <w:pStyle w:val="BodyText"/>
              <w:numPr>
                <w:ilvl w:val="0"/>
                <w:numId w:val="4"/>
              </w:numPr>
              <w:rPr>
                <w:rFonts w:ascii="Arial" w:hAnsi="Arial"/>
                <w:lang w:val="en-US"/>
              </w:rPr>
            </w:pPr>
            <w:r w:rsidRPr="00134D57">
              <w:rPr>
                <w:rFonts w:ascii="Arial" w:hAnsi="Arial"/>
                <w:lang w:val="en-US"/>
              </w:rPr>
              <w:t>The office of Incharge Warehouse Pumping Station No.1 (PS-1), Korangi Creek Road Karachi 0213-5090100-125 Ext 2052/2043</w:t>
            </w:r>
          </w:p>
          <w:p w:rsidR="00134D57" w:rsidRPr="00134D57" w:rsidRDefault="00134D57" w:rsidP="00134D57">
            <w:pPr>
              <w:pStyle w:val="BodyText"/>
              <w:rPr>
                <w:rFonts w:ascii="Arial" w:hAnsi="Arial"/>
                <w:lang w:val="en-US"/>
              </w:rPr>
            </w:pPr>
            <w:r w:rsidRPr="00134D57">
              <w:rPr>
                <w:rFonts w:ascii="Arial" w:hAnsi="Arial"/>
                <w:lang w:val="en-US"/>
              </w:rPr>
              <w:t xml:space="preserve"> </w:t>
            </w:r>
          </w:p>
          <w:p w:rsidR="00134D57" w:rsidRPr="00134D57" w:rsidRDefault="00134D57" w:rsidP="006F6548">
            <w:pPr>
              <w:pStyle w:val="BodyText"/>
              <w:numPr>
                <w:ilvl w:val="0"/>
                <w:numId w:val="4"/>
              </w:numPr>
              <w:rPr>
                <w:rFonts w:ascii="Arial" w:hAnsi="Arial"/>
                <w:lang w:val="en-US"/>
              </w:rPr>
            </w:pPr>
            <w:r w:rsidRPr="00134D57">
              <w:rPr>
                <w:rFonts w:ascii="Arial" w:hAnsi="Arial"/>
                <w:lang w:val="en-US"/>
              </w:rPr>
              <w:t xml:space="preserve">The office of </w:t>
            </w:r>
            <w:r w:rsidR="00850FB8">
              <w:rPr>
                <w:rFonts w:ascii="Arial" w:hAnsi="Arial"/>
                <w:lang w:val="en-US"/>
              </w:rPr>
              <w:t>Incharge</w:t>
            </w:r>
            <w:r w:rsidRPr="00134D57">
              <w:rPr>
                <w:rFonts w:ascii="Arial" w:hAnsi="Arial"/>
                <w:lang w:val="en-US"/>
              </w:rPr>
              <w:t xml:space="preserve"> Procurement</w:t>
            </w:r>
            <w:r w:rsidR="00850FB8">
              <w:rPr>
                <w:rFonts w:ascii="Arial" w:hAnsi="Arial"/>
                <w:lang w:val="en-US"/>
              </w:rPr>
              <w:t>,</w:t>
            </w:r>
            <w:r w:rsidRPr="00134D57">
              <w:rPr>
                <w:rFonts w:ascii="Arial" w:hAnsi="Arial"/>
                <w:lang w:val="en-US"/>
              </w:rPr>
              <w:t xml:space="preserve"> PPGL Head Office</w:t>
            </w:r>
            <w:r w:rsidR="00850FB8">
              <w:rPr>
                <w:rFonts w:ascii="Arial" w:hAnsi="Arial"/>
                <w:lang w:val="en-US"/>
              </w:rPr>
              <w:t xml:space="preserve"> 5-A, Main Gulberg, Jail Road</w:t>
            </w:r>
            <w:r w:rsidRPr="00134D57">
              <w:rPr>
                <w:rFonts w:ascii="Arial" w:hAnsi="Arial"/>
                <w:lang w:val="en-US"/>
              </w:rPr>
              <w:t>, Lahore, (M</w:t>
            </w:r>
            <w:r w:rsidR="006F6548">
              <w:rPr>
                <w:rFonts w:ascii="Arial" w:hAnsi="Arial"/>
                <w:lang w:val="en-US"/>
              </w:rPr>
              <w:t>s.</w:t>
            </w:r>
            <w:r w:rsidRPr="00134D57">
              <w:rPr>
                <w:rFonts w:ascii="Arial" w:hAnsi="Arial"/>
                <w:lang w:val="en-US"/>
              </w:rPr>
              <w:t xml:space="preserve"> </w:t>
            </w:r>
            <w:r w:rsidR="006F6548">
              <w:rPr>
                <w:rFonts w:ascii="Arial" w:hAnsi="Arial"/>
                <w:lang w:val="en-US"/>
              </w:rPr>
              <w:t>Tahzeen Bhatti</w:t>
            </w:r>
            <w:r w:rsidRPr="00134D57">
              <w:rPr>
                <w:rFonts w:ascii="Arial" w:hAnsi="Arial"/>
                <w:lang w:val="en-US"/>
              </w:rPr>
              <w:t xml:space="preserve"> Cell # </w:t>
            </w:r>
            <w:r w:rsidR="006F6548" w:rsidRPr="006F6548">
              <w:rPr>
                <w:rFonts w:ascii="Arial" w:hAnsi="Arial"/>
                <w:lang w:val="en-US"/>
              </w:rPr>
              <w:t>0300</w:t>
            </w:r>
            <w:r w:rsidR="006F6548">
              <w:rPr>
                <w:rFonts w:ascii="Arial" w:hAnsi="Arial"/>
                <w:lang w:val="en-US"/>
              </w:rPr>
              <w:t xml:space="preserve"> </w:t>
            </w:r>
            <w:r w:rsidR="006F6548" w:rsidRPr="006F6548">
              <w:rPr>
                <w:rFonts w:ascii="Arial" w:hAnsi="Arial"/>
                <w:lang w:val="en-US"/>
              </w:rPr>
              <w:t>8583408</w:t>
            </w:r>
            <w:r w:rsidR="008B4AAD">
              <w:rPr>
                <w:rFonts w:ascii="Arial" w:hAnsi="Arial"/>
                <w:lang w:val="en-US"/>
              </w:rPr>
              <w:t>)</w:t>
            </w:r>
          </w:p>
          <w:p w:rsidR="00AF77B2" w:rsidRDefault="00AF77B2" w:rsidP="00F63CF9">
            <w:pPr>
              <w:pStyle w:val="BodyText"/>
              <w:rPr>
                <w:rFonts w:ascii="Arial" w:hAnsi="Arial"/>
              </w:rPr>
            </w:pPr>
          </w:p>
          <w:p w:rsidR="00F63CF9" w:rsidRPr="00AE1322" w:rsidRDefault="00F63CF9" w:rsidP="00F63CF9">
            <w:pPr>
              <w:pStyle w:val="BodyText"/>
              <w:rPr>
                <w:rFonts w:ascii="Arial" w:hAnsi="Arial"/>
              </w:rPr>
            </w:pPr>
            <w:r w:rsidRPr="00AE1322">
              <w:rPr>
                <w:rFonts w:ascii="Arial" w:hAnsi="Arial"/>
              </w:rPr>
              <w:t xml:space="preserve">The </w:t>
            </w:r>
            <w:r w:rsidR="00AF77B2">
              <w:rPr>
                <w:rFonts w:ascii="Arial" w:hAnsi="Arial"/>
              </w:rPr>
              <w:t>Service Provider</w:t>
            </w:r>
            <w:r w:rsidR="00C749B4">
              <w:rPr>
                <w:rFonts w:ascii="Arial" w:hAnsi="Arial"/>
              </w:rPr>
              <w:t xml:space="preserve"> </w:t>
            </w:r>
            <w:r w:rsidRPr="00AE1322">
              <w:rPr>
                <w:rFonts w:ascii="Arial" w:hAnsi="Arial"/>
              </w:rPr>
              <w:t xml:space="preserve">should be registered with the federal income tax authorities and shall maintain its status as an active/filer taxpayer with those tax authorities while rendering services to </w:t>
            </w:r>
            <w:r w:rsidR="00B6520B">
              <w:rPr>
                <w:rFonts w:ascii="Arial" w:hAnsi="Arial"/>
              </w:rPr>
              <w:t>PARCO</w:t>
            </w:r>
            <w:r w:rsidRPr="00AE1322">
              <w:rPr>
                <w:rFonts w:ascii="Arial" w:hAnsi="Arial"/>
              </w:rPr>
              <w:t>.</w:t>
            </w:r>
          </w:p>
          <w:p w:rsidR="0098409E" w:rsidRPr="00AE1322" w:rsidRDefault="0098409E" w:rsidP="009C2E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8409E" w:rsidRPr="00C749B4" w:rsidRDefault="00C749B4" w:rsidP="009C2E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49B4">
              <w:rPr>
                <w:rFonts w:ascii="Arial" w:hAnsi="Arial"/>
                <w:sz w:val="20"/>
                <w:szCs w:val="20"/>
              </w:rPr>
              <w:t xml:space="preserve">Bids will be received at </w:t>
            </w:r>
            <w:r w:rsidR="00B6520B">
              <w:rPr>
                <w:rFonts w:ascii="Arial" w:hAnsi="Arial"/>
                <w:sz w:val="20"/>
                <w:szCs w:val="20"/>
              </w:rPr>
              <w:t>PARCO</w:t>
            </w:r>
            <w:r w:rsidRPr="00C749B4">
              <w:rPr>
                <w:rFonts w:ascii="Arial" w:hAnsi="Arial"/>
                <w:sz w:val="20"/>
                <w:szCs w:val="20"/>
              </w:rPr>
              <w:t>’s Corporate Headquarters, Korangi Creek Road, Korangi, Karachi upto</w:t>
            </w:r>
            <w:r w:rsidR="00DF0BD4">
              <w:rPr>
                <w:rFonts w:ascii="Arial" w:hAnsi="Arial"/>
                <w:sz w:val="20"/>
                <w:szCs w:val="20"/>
              </w:rPr>
              <w:t xml:space="preserve"> </w:t>
            </w:r>
            <w:r w:rsidR="0000477E">
              <w:rPr>
                <w:rFonts w:ascii="Arial" w:hAnsi="Arial"/>
                <w:b/>
                <w:sz w:val="20"/>
                <w:szCs w:val="20"/>
              </w:rPr>
              <w:t>1</w:t>
            </w:r>
            <w:r w:rsidR="009F7D15">
              <w:rPr>
                <w:rFonts w:ascii="Arial" w:hAnsi="Arial"/>
                <w:b/>
                <w:sz w:val="20"/>
                <w:szCs w:val="20"/>
              </w:rPr>
              <w:t>5</w:t>
            </w:r>
            <w:r w:rsidRPr="00C749B4">
              <w:rPr>
                <w:rFonts w:ascii="Arial" w:hAnsi="Arial"/>
                <w:b/>
                <w:sz w:val="20"/>
                <w:szCs w:val="20"/>
              </w:rPr>
              <w:t>00 hours</w:t>
            </w:r>
            <w:r w:rsidRPr="00C749B4">
              <w:rPr>
                <w:rFonts w:ascii="Arial" w:hAnsi="Arial"/>
                <w:sz w:val="20"/>
                <w:szCs w:val="20"/>
              </w:rPr>
              <w:t xml:space="preserve"> on tender opening date specified in the Tender Document</w:t>
            </w:r>
            <w:r w:rsidRPr="00C749B4">
              <w:rPr>
                <w:rFonts w:ascii="Arial" w:hAnsi="Arial"/>
                <w:b/>
                <w:sz w:val="20"/>
                <w:szCs w:val="20"/>
              </w:rPr>
              <w:t>.</w:t>
            </w:r>
            <w:r w:rsidRPr="00C749B4">
              <w:rPr>
                <w:rFonts w:ascii="Arial" w:hAnsi="Arial"/>
                <w:sz w:val="20"/>
                <w:szCs w:val="20"/>
              </w:rPr>
              <w:t xml:space="preserve"> Bids shall be opened at above mentioned date &amp; time in the presence of Bidders or their representatives, who may elect to attend. Bids should be valid for 90 days</w:t>
            </w:r>
          </w:p>
          <w:p w:rsidR="00C749B4" w:rsidRDefault="00C749B4" w:rsidP="00B57EBD">
            <w:pPr>
              <w:pStyle w:val="BodyText"/>
              <w:rPr>
                <w:rFonts w:ascii="Arial" w:hAnsi="Arial"/>
              </w:rPr>
            </w:pPr>
          </w:p>
          <w:p w:rsidR="00B57EBD" w:rsidRPr="00C749B4" w:rsidRDefault="00B57EBD" w:rsidP="00B57EBD">
            <w:pPr>
              <w:pStyle w:val="BodyText"/>
              <w:rPr>
                <w:rFonts w:ascii="Arial" w:hAnsi="Arial"/>
              </w:rPr>
            </w:pPr>
            <w:r w:rsidRPr="00C749B4">
              <w:rPr>
                <w:rFonts w:ascii="Arial" w:hAnsi="Arial"/>
              </w:rPr>
              <w:t xml:space="preserve">In case, Bid Opening date is declared a public holiday, bids shall be received and opened on the first working day following thereafter at the above stated time.  </w:t>
            </w:r>
          </w:p>
          <w:p w:rsidR="00B57EBD" w:rsidRPr="00AE1322" w:rsidRDefault="00B57EBD" w:rsidP="00B57EBD">
            <w:pPr>
              <w:pStyle w:val="BodyText"/>
              <w:rPr>
                <w:rFonts w:ascii="Arial" w:hAnsi="Arial"/>
              </w:rPr>
            </w:pPr>
          </w:p>
          <w:p w:rsidR="00B57EBD" w:rsidRPr="00AE1322" w:rsidRDefault="00134D57" w:rsidP="00B57EBD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PPGL</w:t>
            </w:r>
            <w:r w:rsidR="00B57EBD" w:rsidRPr="00AE1322">
              <w:rPr>
                <w:rFonts w:ascii="Arial" w:hAnsi="Arial"/>
              </w:rPr>
              <w:t xml:space="preserve"> reserves the right to accept or reject any bid and to cancel the bidding process and reject all bids, at any time prior to the award of </w:t>
            </w:r>
            <w:r w:rsidR="006F6548">
              <w:rPr>
                <w:rFonts w:ascii="Arial" w:hAnsi="Arial"/>
              </w:rPr>
              <w:t>Order</w:t>
            </w:r>
            <w:r w:rsidR="006F6548" w:rsidRPr="00AE1322">
              <w:rPr>
                <w:rFonts w:ascii="Arial" w:hAnsi="Arial"/>
              </w:rPr>
              <w:t>,</w:t>
            </w:r>
            <w:r w:rsidR="00B57EBD" w:rsidRPr="00AE1322">
              <w:rPr>
                <w:rFonts w:ascii="Arial" w:hAnsi="Arial"/>
              </w:rPr>
              <w:t xml:space="preserve"> </w:t>
            </w:r>
          </w:p>
          <w:p w:rsidR="00B57EBD" w:rsidRPr="00AE1322" w:rsidRDefault="00B57EBD" w:rsidP="009C2E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C2ABE" w:rsidRPr="00AF77B2" w:rsidRDefault="00071575" w:rsidP="00C749B4">
            <w:pPr>
              <w:pStyle w:val="BodyText"/>
              <w:rPr>
                <w:rFonts w:ascii="Arial" w:hAnsi="Arial"/>
              </w:rPr>
            </w:pPr>
            <w:r w:rsidRPr="00AE1322">
              <w:rPr>
                <w:rFonts w:ascii="Arial" w:hAnsi="Arial"/>
              </w:rPr>
              <w:t>Further information may be obtained from Materials Department, Telephone No. (92-21) 35090100-13 Ext. 2</w:t>
            </w:r>
            <w:r w:rsidR="00AF77B2">
              <w:rPr>
                <w:rFonts w:ascii="Arial" w:hAnsi="Arial"/>
              </w:rPr>
              <w:t>043</w:t>
            </w:r>
            <w:r w:rsidR="00B57EBD" w:rsidRPr="00AE1322">
              <w:rPr>
                <w:rFonts w:ascii="Arial" w:hAnsi="Arial"/>
              </w:rPr>
              <w:t xml:space="preserve"> &amp; 2</w:t>
            </w:r>
            <w:r w:rsidR="00AF77B2">
              <w:rPr>
                <w:rFonts w:ascii="Arial" w:hAnsi="Arial"/>
              </w:rPr>
              <w:t>052</w:t>
            </w:r>
            <w:r w:rsidR="00B57EBD" w:rsidRPr="00AE1322">
              <w:rPr>
                <w:rFonts w:ascii="Arial" w:hAnsi="Arial"/>
              </w:rPr>
              <w:t xml:space="preserve"> </w:t>
            </w:r>
            <w:r w:rsidRPr="00AE1322">
              <w:rPr>
                <w:rFonts w:ascii="Arial" w:hAnsi="Arial"/>
              </w:rPr>
              <w:t>and e-mail:</w:t>
            </w:r>
            <w:r w:rsidRPr="006F6548">
              <w:rPr>
                <w:rFonts w:ascii="Arial" w:hAnsi="Arial"/>
              </w:rPr>
              <w:t xml:space="preserve"> </w:t>
            </w:r>
            <w:hyperlink r:id="rId7" w:history="1">
              <w:r w:rsidR="00ED18B5" w:rsidRPr="006F6548">
                <w:rPr>
                  <w:rStyle w:val="Hyperlink"/>
                  <w:rFonts w:ascii="Arial" w:hAnsi="Arial"/>
                  <w:u w:val="none"/>
                </w:rPr>
                <w:t>amnashaikh@parco.com.pk</w:t>
              </w:r>
            </w:hyperlink>
            <w:r w:rsidR="00A90084">
              <w:rPr>
                <w:rStyle w:val="Hyperlink"/>
                <w:rFonts w:ascii="Arial" w:hAnsi="Arial"/>
                <w:u w:val="none"/>
              </w:rPr>
              <w:t>, naeem.husain@parco.com.pk</w:t>
            </w:r>
            <w:r w:rsidR="00AF77B2">
              <w:rPr>
                <w:rFonts w:ascii="Arial" w:hAnsi="Arial"/>
              </w:rPr>
              <w:t xml:space="preserve"> </w:t>
            </w:r>
            <w:r w:rsidR="00B57EBD" w:rsidRPr="00AE1322">
              <w:rPr>
                <w:rFonts w:ascii="Arial" w:hAnsi="Arial"/>
              </w:rPr>
              <w:t>&amp;</w:t>
            </w:r>
            <w:r w:rsidR="00AF77B2">
              <w:rPr>
                <w:rFonts w:ascii="Arial" w:hAnsi="Arial"/>
              </w:rPr>
              <w:t xml:space="preserve"> </w:t>
            </w:r>
            <w:hyperlink r:id="rId8" w:history="1">
              <w:r w:rsidR="00AF77B2" w:rsidRPr="00AF77B2">
                <w:rPr>
                  <w:rStyle w:val="Hyperlink"/>
                  <w:rFonts w:ascii="Arial" w:hAnsi="Arial"/>
                  <w:u w:val="none"/>
                </w:rPr>
                <w:t>services_chq@parco.com.pk</w:t>
              </w:r>
            </w:hyperlink>
          </w:p>
          <w:p w:rsidR="00C749B4" w:rsidRDefault="00C749B4" w:rsidP="00C749B4">
            <w:pPr>
              <w:pStyle w:val="BodyText"/>
              <w:rPr>
                <w:rFonts w:ascii="Arial" w:hAnsi="Arial"/>
              </w:rPr>
            </w:pPr>
          </w:p>
          <w:p w:rsidR="00C749B4" w:rsidRDefault="00C749B4" w:rsidP="00C749B4">
            <w:pPr>
              <w:pStyle w:val="BodyText"/>
              <w:rPr>
                <w:rFonts w:ascii="Arial" w:hAnsi="Arial"/>
              </w:rPr>
            </w:pPr>
          </w:p>
          <w:p w:rsidR="006F6548" w:rsidRDefault="006F6548" w:rsidP="00C749B4">
            <w:pPr>
              <w:pStyle w:val="BodyText"/>
              <w:rPr>
                <w:rFonts w:ascii="Arial" w:hAnsi="Arial"/>
              </w:rPr>
            </w:pPr>
          </w:p>
          <w:p w:rsidR="00C749B4" w:rsidRPr="00C749B4" w:rsidRDefault="00C749B4" w:rsidP="00C749B4">
            <w:pPr>
              <w:pStyle w:val="BodyText"/>
              <w:jc w:val="right"/>
              <w:rPr>
                <w:rFonts w:ascii="Arial" w:hAnsi="Arial"/>
                <w:b/>
              </w:rPr>
            </w:pPr>
            <w:r w:rsidRPr="00C749B4">
              <w:rPr>
                <w:rFonts w:ascii="Arial" w:hAnsi="Arial"/>
                <w:b/>
              </w:rPr>
              <w:t>Manager Materials</w:t>
            </w:r>
          </w:p>
        </w:tc>
      </w:tr>
    </w:tbl>
    <w:p w:rsidR="0099398D" w:rsidRDefault="0099398D" w:rsidP="00A67D57">
      <w:pPr>
        <w:rPr>
          <w:rFonts w:ascii="Arial" w:hAnsi="Arial" w:cs="Arial"/>
          <w:b/>
        </w:rPr>
      </w:pPr>
      <w:bookmarkStart w:id="0" w:name="_GoBack"/>
      <w:bookmarkEnd w:id="0"/>
    </w:p>
    <w:sectPr w:rsidR="0099398D" w:rsidSect="00BB438C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F0D36"/>
    <w:multiLevelType w:val="hybridMultilevel"/>
    <w:tmpl w:val="C4F8FC36"/>
    <w:lvl w:ilvl="0" w:tplc="AC747B40">
      <w:start w:val="1"/>
      <w:numFmt w:val="decimal"/>
      <w:lvlText w:val="%1)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 w15:restartNumberingAfterBreak="0">
    <w:nsid w:val="2BC0188F"/>
    <w:multiLevelType w:val="hybridMultilevel"/>
    <w:tmpl w:val="C7047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A0F33"/>
    <w:multiLevelType w:val="hybridMultilevel"/>
    <w:tmpl w:val="D5B8A5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61D38"/>
    <w:multiLevelType w:val="hybridMultilevel"/>
    <w:tmpl w:val="20B666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5A0DBD"/>
    <w:rsid w:val="00000881"/>
    <w:rsid w:val="0000477E"/>
    <w:rsid w:val="000077DE"/>
    <w:rsid w:val="000139F9"/>
    <w:rsid w:val="000255F7"/>
    <w:rsid w:val="00030645"/>
    <w:rsid w:val="00032FD6"/>
    <w:rsid w:val="00035057"/>
    <w:rsid w:val="00044BFE"/>
    <w:rsid w:val="00071575"/>
    <w:rsid w:val="00071E84"/>
    <w:rsid w:val="000814C0"/>
    <w:rsid w:val="000C06DA"/>
    <w:rsid w:val="000C363F"/>
    <w:rsid w:val="000D4421"/>
    <w:rsid w:val="000E39C5"/>
    <w:rsid w:val="000F01F1"/>
    <w:rsid w:val="000F7BC4"/>
    <w:rsid w:val="00101AF4"/>
    <w:rsid w:val="00110853"/>
    <w:rsid w:val="001167CB"/>
    <w:rsid w:val="00117973"/>
    <w:rsid w:val="00117A94"/>
    <w:rsid w:val="00134D57"/>
    <w:rsid w:val="0016169D"/>
    <w:rsid w:val="00163B4A"/>
    <w:rsid w:val="001722DB"/>
    <w:rsid w:val="001D2A80"/>
    <w:rsid w:val="001F100E"/>
    <w:rsid w:val="001F58E5"/>
    <w:rsid w:val="002001A3"/>
    <w:rsid w:val="00213E54"/>
    <w:rsid w:val="0021688F"/>
    <w:rsid w:val="0024522E"/>
    <w:rsid w:val="0024711A"/>
    <w:rsid w:val="00260929"/>
    <w:rsid w:val="002747FB"/>
    <w:rsid w:val="00281FBE"/>
    <w:rsid w:val="00286A19"/>
    <w:rsid w:val="00292B3F"/>
    <w:rsid w:val="002B1B76"/>
    <w:rsid w:val="002C013F"/>
    <w:rsid w:val="002C3CFF"/>
    <w:rsid w:val="002C4347"/>
    <w:rsid w:val="002C55E8"/>
    <w:rsid w:val="002F58FF"/>
    <w:rsid w:val="00310FD7"/>
    <w:rsid w:val="00311441"/>
    <w:rsid w:val="003659EE"/>
    <w:rsid w:val="003B3E25"/>
    <w:rsid w:val="003D3BFE"/>
    <w:rsid w:val="003D5C7A"/>
    <w:rsid w:val="003E2281"/>
    <w:rsid w:val="003E638C"/>
    <w:rsid w:val="003F5A68"/>
    <w:rsid w:val="00414112"/>
    <w:rsid w:val="00417D9F"/>
    <w:rsid w:val="00451DCA"/>
    <w:rsid w:val="004567DF"/>
    <w:rsid w:val="00471AF1"/>
    <w:rsid w:val="00475F65"/>
    <w:rsid w:val="00495600"/>
    <w:rsid w:val="004C6B3C"/>
    <w:rsid w:val="005144CB"/>
    <w:rsid w:val="00516048"/>
    <w:rsid w:val="005162BF"/>
    <w:rsid w:val="005517FD"/>
    <w:rsid w:val="005613B3"/>
    <w:rsid w:val="00572D9E"/>
    <w:rsid w:val="00575C87"/>
    <w:rsid w:val="00584FB2"/>
    <w:rsid w:val="005A0DBD"/>
    <w:rsid w:val="005D4789"/>
    <w:rsid w:val="005E5716"/>
    <w:rsid w:val="005F1814"/>
    <w:rsid w:val="00602597"/>
    <w:rsid w:val="0063234D"/>
    <w:rsid w:val="006365CE"/>
    <w:rsid w:val="00637E10"/>
    <w:rsid w:val="0064627A"/>
    <w:rsid w:val="00677C2E"/>
    <w:rsid w:val="006950AF"/>
    <w:rsid w:val="006A0DF6"/>
    <w:rsid w:val="006C0AC0"/>
    <w:rsid w:val="006C651A"/>
    <w:rsid w:val="006D3A49"/>
    <w:rsid w:val="006E595E"/>
    <w:rsid w:val="006F6548"/>
    <w:rsid w:val="007212FF"/>
    <w:rsid w:val="00722746"/>
    <w:rsid w:val="0073345B"/>
    <w:rsid w:val="00736F64"/>
    <w:rsid w:val="00746AB8"/>
    <w:rsid w:val="0075061C"/>
    <w:rsid w:val="00750EA6"/>
    <w:rsid w:val="00751D03"/>
    <w:rsid w:val="007554A0"/>
    <w:rsid w:val="00760829"/>
    <w:rsid w:val="00765EBE"/>
    <w:rsid w:val="00776E0E"/>
    <w:rsid w:val="00782EEA"/>
    <w:rsid w:val="007852A2"/>
    <w:rsid w:val="007A12D4"/>
    <w:rsid w:val="007C4B19"/>
    <w:rsid w:val="007D39DA"/>
    <w:rsid w:val="007E2339"/>
    <w:rsid w:val="007E6396"/>
    <w:rsid w:val="00814DAC"/>
    <w:rsid w:val="00816D84"/>
    <w:rsid w:val="008223E6"/>
    <w:rsid w:val="00824BA1"/>
    <w:rsid w:val="00844F98"/>
    <w:rsid w:val="00846330"/>
    <w:rsid w:val="0084633A"/>
    <w:rsid w:val="00850FB8"/>
    <w:rsid w:val="008641AB"/>
    <w:rsid w:val="0088688A"/>
    <w:rsid w:val="008A18F9"/>
    <w:rsid w:val="008B4AAD"/>
    <w:rsid w:val="008F0204"/>
    <w:rsid w:val="008F1B03"/>
    <w:rsid w:val="0092679F"/>
    <w:rsid w:val="00945C8D"/>
    <w:rsid w:val="00950556"/>
    <w:rsid w:val="00955D4E"/>
    <w:rsid w:val="009623D5"/>
    <w:rsid w:val="009672C2"/>
    <w:rsid w:val="00976F43"/>
    <w:rsid w:val="0098409E"/>
    <w:rsid w:val="0099398D"/>
    <w:rsid w:val="00994274"/>
    <w:rsid w:val="00994B9D"/>
    <w:rsid w:val="009A0C1B"/>
    <w:rsid w:val="009C2EC5"/>
    <w:rsid w:val="009C4BF5"/>
    <w:rsid w:val="009D5A64"/>
    <w:rsid w:val="009D6ECA"/>
    <w:rsid w:val="009E2886"/>
    <w:rsid w:val="009F1909"/>
    <w:rsid w:val="009F7700"/>
    <w:rsid w:val="009F7D15"/>
    <w:rsid w:val="00A20F42"/>
    <w:rsid w:val="00A221EB"/>
    <w:rsid w:val="00A242C0"/>
    <w:rsid w:val="00A53F7F"/>
    <w:rsid w:val="00A60499"/>
    <w:rsid w:val="00A64F9B"/>
    <w:rsid w:val="00A66ED3"/>
    <w:rsid w:val="00A67D57"/>
    <w:rsid w:val="00A90084"/>
    <w:rsid w:val="00A902E8"/>
    <w:rsid w:val="00A90CC4"/>
    <w:rsid w:val="00A94766"/>
    <w:rsid w:val="00AB2DB7"/>
    <w:rsid w:val="00AC593A"/>
    <w:rsid w:val="00AE1322"/>
    <w:rsid w:val="00AE4537"/>
    <w:rsid w:val="00AF77B2"/>
    <w:rsid w:val="00B07386"/>
    <w:rsid w:val="00B26D5C"/>
    <w:rsid w:val="00B32A63"/>
    <w:rsid w:val="00B50F53"/>
    <w:rsid w:val="00B57EBD"/>
    <w:rsid w:val="00B6520B"/>
    <w:rsid w:val="00B700DF"/>
    <w:rsid w:val="00B75E24"/>
    <w:rsid w:val="00BA4BFD"/>
    <w:rsid w:val="00BB438C"/>
    <w:rsid w:val="00BB6165"/>
    <w:rsid w:val="00BC6104"/>
    <w:rsid w:val="00BD1846"/>
    <w:rsid w:val="00BD3B50"/>
    <w:rsid w:val="00BE4DBE"/>
    <w:rsid w:val="00BE6F68"/>
    <w:rsid w:val="00C01D19"/>
    <w:rsid w:val="00C12EF9"/>
    <w:rsid w:val="00C31E1E"/>
    <w:rsid w:val="00C36EB0"/>
    <w:rsid w:val="00C530C1"/>
    <w:rsid w:val="00C70B39"/>
    <w:rsid w:val="00C749B4"/>
    <w:rsid w:val="00C772C6"/>
    <w:rsid w:val="00C80B4D"/>
    <w:rsid w:val="00C95E75"/>
    <w:rsid w:val="00CC480C"/>
    <w:rsid w:val="00CC6A07"/>
    <w:rsid w:val="00CF229F"/>
    <w:rsid w:val="00D03CDF"/>
    <w:rsid w:val="00D0789C"/>
    <w:rsid w:val="00D10FD2"/>
    <w:rsid w:val="00D11D42"/>
    <w:rsid w:val="00D2125F"/>
    <w:rsid w:val="00D264A1"/>
    <w:rsid w:val="00D3010D"/>
    <w:rsid w:val="00D32081"/>
    <w:rsid w:val="00D32616"/>
    <w:rsid w:val="00D54473"/>
    <w:rsid w:val="00D70423"/>
    <w:rsid w:val="00D73801"/>
    <w:rsid w:val="00D77713"/>
    <w:rsid w:val="00D77976"/>
    <w:rsid w:val="00DA2900"/>
    <w:rsid w:val="00DA4FFF"/>
    <w:rsid w:val="00DB0095"/>
    <w:rsid w:val="00DB5B0E"/>
    <w:rsid w:val="00DC0169"/>
    <w:rsid w:val="00DC2ABE"/>
    <w:rsid w:val="00DE543A"/>
    <w:rsid w:val="00DF0BD4"/>
    <w:rsid w:val="00E1067D"/>
    <w:rsid w:val="00E13324"/>
    <w:rsid w:val="00E31E53"/>
    <w:rsid w:val="00E36496"/>
    <w:rsid w:val="00E37514"/>
    <w:rsid w:val="00E46124"/>
    <w:rsid w:val="00E53326"/>
    <w:rsid w:val="00E6194B"/>
    <w:rsid w:val="00E6691E"/>
    <w:rsid w:val="00E731A3"/>
    <w:rsid w:val="00EB6CE9"/>
    <w:rsid w:val="00EC13AB"/>
    <w:rsid w:val="00EC6C32"/>
    <w:rsid w:val="00ED18B5"/>
    <w:rsid w:val="00F006C2"/>
    <w:rsid w:val="00F17CC1"/>
    <w:rsid w:val="00F241A3"/>
    <w:rsid w:val="00F2716F"/>
    <w:rsid w:val="00F34DF2"/>
    <w:rsid w:val="00F36B89"/>
    <w:rsid w:val="00F44E80"/>
    <w:rsid w:val="00F55FB0"/>
    <w:rsid w:val="00F63CF9"/>
    <w:rsid w:val="00F96CA6"/>
    <w:rsid w:val="00FB34E7"/>
    <w:rsid w:val="00FB3B14"/>
    <w:rsid w:val="00FE4279"/>
    <w:rsid w:val="00FE6271"/>
    <w:rsid w:val="00FF5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37F88860"/>
  <w15:docId w15:val="{3BC2835D-B9FD-4B1F-B143-7BF710912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B0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E1322"/>
    <w:pPr>
      <w:keepNext/>
      <w:jc w:val="center"/>
      <w:outlineLvl w:val="0"/>
    </w:pPr>
    <w:rPr>
      <w:b/>
      <w:bCs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7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32FD6"/>
    <w:pPr>
      <w:jc w:val="both"/>
    </w:pPr>
    <w:rPr>
      <w:rFonts w:ascii="Arial Narrow" w:hAnsi="Arial Narrow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032FD6"/>
    <w:rPr>
      <w:rFonts w:ascii="Arial Narrow" w:hAnsi="Arial Narrow" w:cs="Arial"/>
      <w:lang w:val="en-GB"/>
    </w:rPr>
  </w:style>
  <w:style w:type="paragraph" w:styleId="BalloonText">
    <w:name w:val="Balloon Text"/>
    <w:basedOn w:val="Normal"/>
    <w:link w:val="BalloonTextChar"/>
    <w:rsid w:val="00E364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4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57EB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AE1322"/>
    <w:rPr>
      <w:b/>
      <w:bCs/>
      <w:sz w:val="36"/>
      <w:lang w:val="en-GB"/>
    </w:rPr>
  </w:style>
  <w:style w:type="paragraph" w:styleId="ListParagraph">
    <w:name w:val="List Paragraph"/>
    <w:basedOn w:val="Normal"/>
    <w:uiPriority w:val="34"/>
    <w:qFormat/>
    <w:rsid w:val="00AF7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s_chq@parco.com.pk" TargetMode="External"/><Relationship Id="rId3" Type="http://schemas.openxmlformats.org/officeDocument/2006/relationships/styles" Target="styles.xml"/><Relationship Id="rId7" Type="http://schemas.openxmlformats.org/officeDocument/2006/relationships/hyperlink" Target="mailto:amnashaikh@parco.com.p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4672C91-F586-41EA-B2BD-4552DA57B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PAK-ARAB REFINERY LIMITED</vt:lpstr>
    </vt:vector>
  </TitlesOfParts>
  <Company>PARCO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PAK-ARAB REFINERY LIMITED</dc:title>
  <dc:subject/>
  <dc:creator>naikamal</dc:creator>
  <cp:keywords/>
  <dc:description/>
  <cp:lastModifiedBy>Syed Naeem Hussain</cp:lastModifiedBy>
  <cp:revision>69</cp:revision>
  <cp:lastPrinted>2018-10-01T10:12:00Z</cp:lastPrinted>
  <dcterms:created xsi:type="dcterms:W3CDTF">2013-03-18T09:54:00Z</dcterms:created>
  <dcterms:modified xsi:type="dcterms:W3CDTF">2019-12-24T04:07:00Z</dcterms:modified>
</cp:coreProperties>
</file>